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31D3" w14:textId="488A253B" w:rsidR="00D842A8" w:rsidRPr="009E69CB" w:rsidRDefault="0069501F" w:rsidP="009E6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A9" w:rsidRPr="009E69CB">
        <w:rPr>
          <w:rFonts w:ascii="Times New Roman" w:hAnsi="Times New Roman" w:cs="Times New Roman"/>
          <w:b/>
          <w:sz w:val="28"/>
          <w:szCs w:val="28"/>
        </w:rPr>
        <w:t>«</w:t>
      </w:r>
      <w:r w:rsidR="009E69CB" w:rsidRPr="009E69CB">
        <w:rPr>
          <w:rFonts w:ascii="Times New Roman" w:hAnsi="Times New Roman" w:cs="Times New Roman"/>
          <w:b/>
          <w:sz w:val="28"/>
          <w:szCs w:val="28"/>
        </w:rPr>
        <w:t>Установлены дополнительные требования к коллекторской деятельности</w:t>
      </w:r>
      <w:r w:rsidR="00B95B43" w:rsidRPr="009E69C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01EAB7A9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</w:p>
    <w:p w14:paraId="72078582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 w14:paraId="174A54E3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Конкретизирован перечень лиц, которые могут взаимодействовать с должником. Это может быть кредитор (в т.ч.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 w14:paraId="419EE81C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 w14:paraId="64E241FA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Более детально прописан перечень недопустимых действий при непосредственном взаимодействии с должником (в т.ч. установлены периоды в течение дня, когда такое взаимодействие запрещено).</w:t>
      </w:r>
    </w:p>
    <w:p w14:paraId="3850201F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 w14:paraId="451FF907" w14:textId="77777777" w:rsidR="009E69CB" w:rsidRPr="009E69CB" w:rsidRDefault="009E69CB" w:rsidP="009E69CB">
      <w:pPr>
        <w:pStyle w:val="a4"/>
        <w:rPr>
          <w:color w:val="000000"/>
          <w:sz w:val="28"/>
          <w:szCs w:val="30"/>
          <w:shd w:val="clear" w:color="auto" w:fill="FFFFFF"/>
        </w:rPr>
      </w:pPr>
      <w:r w:rsidRPr="009E69CB">
        <w:rPr>
          <w:color w:val="000000"/>
          <w:sz w:val="28"/>
          <w:szCs w:val="30"/>
          <w:shd w:val="clear" w:color="auto" w:fill="FFFFFF"/>
        </w:rPr>
        <w:t>Изменения вступают в силу с 1 февраля 2024 года.</w:t>
      </w:r>
    </w:p>
    <w:p w14:paraId="41EA29AC" w14:textId="36D985BB" w:rsidR="00F86BB3" w:rsidRDefault="00F86BB3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1EC3917" w14:textId="77777777" w:rsidR="00DE5DEF" w:rsidRDefault="00DE5DEF" w:rsidP="002B3045">
      <w:pPr>
        <w:pStyle w:val="a4"/>
        <w:spacing w:line="240" w:lineRule="exact"/>
        <w:ind w:firstLine="0"/>
        <w:rPr>
          <w:sz w:val="28"/>
          <w:szCs w:val="28"/>
        </w:rPr>
      </w:pPr>
    </w:p>
    <w:sectPr w:rsidR="00DE5DEF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9501F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E69CB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DE5DEF"/>
    <w:rsid w:val="00E25D2E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2023-12-28T03:52:00Z</cp:lastPrinted>
  <dcterms:created xsi:type="dcterms:W3CDTF">2023-12-29T04:28:00Z</dcterms:created>
  <dcterms:modified xsi:type="dcterms:W3CDTF">2023-12-29T04:28:00Z</dcterms:modified>
</cp:coreProperties>
</file>